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7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940"/>
        <w:gridCol w:w="270"/>
        <w:gridCol w:w="900"/>
        <w:gridCol w:w="286"/>
        <w:gridCol w:w="1717"/>
        <w:gridCol w:w="1867"/>
        <w:gridCol w:w="1890"/>
        <w:gridCol w:w="900"/>
        <w:gridCol w:w="360"/>
        <w:gridCol w:w="270"/>
        <w:gridCol w:w="540"/>
        <w:gridCol w:w="252"/>
        <w:gridCol w:w="1638"/>
        <w:gridCol w:w="1890"/>
        <w:gridCol w:w="1800"/>
        <w:gridCol w:w="1890"/>
        <w:gridCol w:w="180"/>
      </w:tblGrid>
      <w:tr w:rsidR="00177E06" w:rsidRPr="0002208F" w14:paraId="393FC060" w14:textId="77777777" w:rsidTr="007D5A4E">
        <w:trPr>
          <w:trHeight w:val="723"/>
        </w:trPr>
        <w:tc>
          <w:tcPr>
            <w:tcW w:w="6120" w:type="dxa"/>
            <w:gridSpan w:val="2"/>
          </w:tcPr>
          <w:p w14:paraId="30842456" w14:textId="5A07C4C1" w:rsidR="00A837BA" w:rsidRPr="0023267D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Report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on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the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KOGCF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Adj</w:t>
            </w:r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acent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Villages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Air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Quality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for</w:t>
            </w:r>
            <w:proofErr w:type="spellEnd"/>
            <w:r w:rsidR="008130BD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2A3422">
              <w:rPr>
                <w:rFonts w:ascii="Arial" w:hAnsi="Arial" w:cs="Arial"/>
                <w:b/>
                <w:lang w:val="en-US" w:eastAsia="en-US"/>
              </w:rPr>
              <w:t>June</w:t>
            </w:r>
            <w:r w:rsidR="00571983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23267D">
              <w:rPr>
                <w:rFonts w:ascii="Arial" w:hAnsi="Arial" w:cs="Arial"/>
                <w:b/>
                <w:lang w:val="en-US" w:eastAsia="en-US"/>
              </w:rPr>
              <w:t>2025</w:t>
            </w:r>
          </w:p>
        </w:tc>
        <w:tc>
          <w:tcPr>
            <w:tcW w:w="270" w:type="dxa"/>
          </w:tcPr>
          <w:p w14:paraId="5872C431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45DD7A8B" w14:textId="32B075D6" w:rsidR="00A837BA" w:rsidRPr="00177E06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E06">
              <w:rPr>
                <w:rFonts w:ascii="Arial" w:hAnsi="Arial" w:cs="Arial"/>
                <w:b/>
                <w:lang w:eastAsia="en-US"/>
              </w:rPr>
              <w:t xml:space="preserve">Отчет о состоянии атмосферного воздуха в населенных пунктах, </w:t>
            </w:r>
            <w:r w:rsidR="00DD4A1F">
              <w:rPr>
                <w:rFonts w:ascii="Arial" w:hAnsi="Arial" w:cs="Arial"/>
                <w:b/>
                <w:lang w:eastAsia="en-US"/>
              </w:rPr>
              <w:t xml:space="preserve">прилегающих к КНГКМ, за </w:t>
            </w:r>
            <w:r w:rsidR="002A3422">
              <w:rPr>
                <w:rFonts w:ascii="Arial" w:hAnsi="Arial" w:cs="Arial"/>
                <w:b/>
                <w:lang w:eastAsia="en-US"/>
              </w:rPr>
              <w:t>Июнь</w:t>
            </w:r>
            <w:r w:rsidR="0023267D">
              <w:rPr>
                <w:rFonts w:ascii="Arial" w:hAnsi="Arial" w:cs="Arial"/>
                <w:b/>
                <w:lang w:eastAsia="en-US"/>
              </w:rPr>
              <w:t xml:space="preserve"> 2025 года</w:t>
            </w:r>
          </w:p>
        </w:tc>
        <w:tc>
          <w:tcPr>
            <w:tcW w:w="270" w:type="dxa"/>
          </w:tcPr>
          <w:p w14:paraId="5CB3122B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</w:pPr>
          </w:p>
        </w:tc>
        <w:tc>
          <w:tcPr>
            <w:tcW w:w="8190" w:type="dxa"/>
            <w:gridSpan w:val="7"/>
          </w:tcPr>
          <w:p w14:paraId="5CCCD622" w14:textId="29892956" w:rsidR="00A837BA" w:rsidRPr="00177E06" w:rsidRDefault="00132FBD" w:rsidP="007D5A4E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177E06">
              <w:rPr>
                <w:rFonts w:ascii="Arial" w:hAnsi="Arial" w:cs="Arial"/>
                <w:b/>
                <w:bCs/>
                <w:lang w:eastAsia="en-US"/>
              </w:rPr>
              <w:t>20</w:t>
            </w:r>
            <w:r w:rsidR="00DF1A9E">
              <w:rPr>
                <w:rFonts w:ascii="Arial" w:hAnsi="Arial" w:cs="Arial"/>
                <w:b/>
                <w:bCs/>
                <w:lang w:val="kk-KZ" w:eastAsia="en-US"/>
              </w:rPr>
              <w:t>2</w:t>
            </w:r>
            <w:r w:rsidR="0023267D">
              <w:rPr>
                <w:rFonts w:ascii="Arial" w:hAnsi="Arial" w:cs="Arial"/>
                <w:b/>
                <w:bCs/>
                <w:lang w:val="kk-KZ" w:eastAsia="en-US"/>
              </w:rPr>
              <w:t>5</w:t>
            </w:r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>жылғы</w:t>
            </w:r>
            <w:proofErr w:type="spellEnd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DC5A03">
              <w:rPr>
                <w:rFonts w:ascii="Arial" w:hAnsi="Arial" w:cs="Arial"/>
                <w:b/>
                <w:bCs/>
                <w:lang w:val="kk-KZ" w:eastAsia="en-US"/>
              </w:rPr>
              <w:t>ма</w:t>
            </w:r>
            <w:r w:rsidR="002A3422">
              <w:rPr>
                <w:rFonts w:ascii="Arial" w:hAnsi="Arial" w:cs="Arial"/>
                <w:b/>
                <w:bCs/>
                <w:lang w:val="kk-KZ" w:eastAsia="en-US"/>
              </w:rPr>
              <w:t>усым</w:t>
            </w:r>
            <w:r w:rsidR="00571983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айындағы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ҚМГКК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төңірегінде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орналасқан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елді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мекендердің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атмосфералық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ауасының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жағдайы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бойынша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есеп</w:t>
            </w:r>
            <w:proofErr w:type="spellEnd"/>
          </w:p>
        </w:tc>
      </w:tr>
      <w:tr w:rsidR="00177E06" w:rsidRPr="004C01F5" w14:paraId="15BD03A3" w14:textId="77777777" w:rsidTr="00100C56">
        <w:trPr>
          <w:trHeight w:val="6517"/>
        </w:trPr>
        <w:tc>
          <w:tcPr>
            <w:tcW w:w="6120" w:type="dxa"/>
            <w:gridSpan w:val="2"/>
          </w:tcPr>
          <w:p w14:paraId="5DC3FD89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KPO Company highly focuses on environmental protection in delivering its production operations. 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According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to RK Environmental legislation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,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several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which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include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all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aspects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activities.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key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being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implemented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 Environmental Control (PEC) program,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which is developed in accordance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with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RK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Code to perform the following tasks:</w:t>
            </w:r>
          </w:p>
          <w:p w14:paraId="42E268BB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Obtaining reliable data on the KPO emissions and the impact of production activities on the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environment;</w:t>
            </w:r>
            <w:proofErr w:type="gramEnd"/>
          </w:p>
          <w:p w14:paraId="02D8A0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minimize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impact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environment and human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health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;</w:t>
            </w:r>
            <w:proofErr w:type="gramEnd"/>
          </w:p>
          <w:p w14:paraId="4B8C956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immediate proactive response to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emergencies;</w:t>
            </w:r>
            <w:proofErr w:type="gramEnd"/>
          </w:p>
          <w:p w14:paraId="6B4C8229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informing the public on the environmental activities of the company and the public health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risks;</w:t>
            </w:r>
            <w:proofErr w:type="gramEnd"/>
          </w:p>
          <w:p w14:paraId="712A456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improve compliance with environmental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requirements;</w:t>
            </w:r>
            <w:proofErr w:type="gramEnd"/>
          </w:p>
          <w:p w14:paraId="7DB5201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improve the production and environmental efficiency of the environmental management system.</w:t>
            </w:r>
          </w:p>
          <w:p w14:paraId="289DCC15" w14:textId="17C65866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S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pecial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attention is paid to the protection of atmospheric air in the field and in settlements located close to the Karachaganak field. The accredited laboratory of the CPI 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“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Gidromet LTD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”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LLP is involved in obtaining reliable and prompt monitoring data.</w:t>
            </w:r>
          </w:p>
          <w:p w14:paraId="48AB097C" w14:textId="4C406504" w:rsidR="00A837BA" w:rsidRPr="00100C56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 table below shows air quali</w:t>
            </w:r>
            <w:r w:rsidR="00B62D27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</w:t>
            </w:r>
            <w:r w:rsidR="00F30BAE">
              <w:rPr>
                <w:rFonts w:ascii="Arial" w:hAnsi="Arial" w:cs="Arial"/>
                <w:sz w:val="20"/>
                <w:szCs w:val="20"/>
                <w:lang w:val="en-GB" w:eastAsia="en-US"/>
              </w:rPr>
              <w:t>y</w:t>
            </w:r>
            <w:r w:rsidR="00F30BAE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8130BD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analysis results for </w:t>
            </w:r>
            <w:r w:rsidR="002A3422">
              <w:rPr>
                <w:rFonts w:ascii="Arial" w:hAnsi="Arial" w:cs="Arial"/>
                <w:sz w:val="20"/>
                <w:szCs w:val="20"/>
                <w:lang w:val="en-US" w:eastAsia="en-US"/>
              </w:rPr>
              <w:t>June</w:t>
            </w:r>
            <w:r w:rsidR="005719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DF1A9E">
              <w:rPr>
                <w:rFonts w:ascii="Arial" w:hAnsi="Arial" w:cs="Arial"/>
                <w:sz w:val="20"/>
                <w:szCs w:val="20"/>
                <w:lang w:val="en-GB" w:eastAsia="en-US"/>
              </w:rPr>
              <w:t>202</w:t>
            </w:r>
            <w:r w:rsidR="0023267D"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. For comparison purpose, the average daily maximum permissible concentrations (Average Daily MPC) are also given in the bottom row</w:t>
            </w:r>
            <w:r w:rsidR="00100C56" w:rsidRPr="00100C56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270" w:type="dxa"/>
          </w:tcPr>
          <w:p w14:paraId="6497BB4D" w14:textId="77777777" w:rsidR="00A837BA" w:rsidRPr="00FD35C5" w:rsidRDefault="00A837BA" w:rsidP="00A837B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2BF97056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своей производственной деятельности 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компания КПО уделяет особое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вопросам охраны окружающей среды. В соответствии с экологическим законодательством РК, КПО реализует ряд программ по охране окружающей среды, которые включают в себя все аспекты производственной деятельности КПО. Одной из ключевых программ, реализуемых в КПО, является Программа Производственного Экологического Контроля (ПЭК), разработанная в соответствии с требованиями Экологического Кодекса РК для выполнения следующих задач: </w:t>
            </w:r>
          </w:p>
          <w:p w14:paraId="1B57544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Получение достоверных данных об эмиссиях предприятия и воздействии производственной деятельности на окружающую среду;</w:t>
            </w:r>
          </w:p>
          <w:p w14:paraId="00491B1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сведение к минимуму воздействия на окружающую среду и здоровье человека;</w:t>
            </w:r>
          </w:p>
          <w:p w14:paraId="0FA1C98E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оперативное упреждающее реагирование на нештатные ситуации;</w:t>
            </w:r>
          </w:p>
          <w:p w14:paraId="4CBE11E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информирование общественности об экологической деятельности предприятия и рисках для здоровья населения;</w:t>
            </w:r>
          </w:p>
          <w:p w14:paraId="32C1671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уровня соответствия экологическим требованиям;</w:t>
            </w:r>
          </w:p>
          <w:p w14:paraId="409C0AA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производственной и экологической эффективности системы управления охраной окружающей среды.</w:t>
            </w:r>
          </w:p>
          <w:p w14:paraId="3D50D4AD" w14:textId="44A8A63A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овышенное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уделяется охране атмосферного воздуха на территории промысла и в населенных пунктах, расположенных вблизи Карачаганакского месторождения. Для достоверного и оперативного получения необходимых мониторинговых данных привлекается аккредитованная лаборатория ТОО ИПЦ «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Gidromet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LTD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>».</w:t>
            </w:r>
          </w:p>
          <w:p w14:paraId="60FBB2EF" w14:textId="585435E7" w:rsidR="00CE1F6B" w:rsidRDefault="00177E06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приведенной ниже таблице представлены результаты анализов качества </w:t>
            </w:r>
            <w:r w:rsidR="00D6662F" w:rsidRPr="00FD35C5">
              <w:rPr>
                <w:rFonts w:ascii="Arial" w:hAnsi="Arial" w:cs="Arial"/>
                <w:sz w:val="20"/>
                <w:szCs w:val="20"/>
                <w:lang w:eastAsia="en-US"/>
              </w:rPr>
              <w:t>атмосферного</w:t>
            </w:r>
            <w:r w:rsidR="00DD4A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воздуха за </w:t>
            </w:r>
            <w:r w:rsidR="002A3422">
              <w:rPr>
                <w:rFonts w:ascii="Arial" w:hAnsi="Arial" w:cs="Arial"/>
                <w:sz w:val="20"/>
                <w:szCs w:val="20"/>
                <w:lang w:eastAsia="en-US"/>
              </w:rPr>
              <w:t>июнь</w:t>
            </w:r>
            <w:r w:rsidR="00DF1A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2326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 и для сравнения в нижней строке даны среднесуточные предельно-допустимые концентрации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ПДКс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c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.).</w:t>
            </w:r>
          </w:p>
          <w:p w14:paraId="330C5C9B" w14:textId="77777777" w:rsidR="00F30BAE" w:rsidRPr="00FD35C5" w:rsidRDefault="00F30BAE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</w:tcPr>
          <w:p w14:paraId="7C4981B8" w14:textId="77777777" w:rsidR="00A837BA" w:rsidRPr="00FD35C5" w:rsidRDefault="00A837BA" w:rsidP="00A837BA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7"/>
          </w:tcPr>
          <w:p w14:paraId="2B0260C3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 xml:space="preserve">Өзінің өндірістік қызметі барысында КПО компаниясы қоршаған ортаны қорғау мәселелеріне айрықша көңіл бөледі. ҚР экологиялық заңнамасына сәйкес КПО компаниясы КПО-ның өндірістік қызметтерінің барлық аспектілерін қамтитын қоршаған ортаны қорғау бойынша бірқатар бағдарламаларды жүзеге асырып келеді. </w:t>
            </w:r>
          </w:p>
          <w:p w14:paraId="1546E87E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>КПО-да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табылады.:</w:t>
            </w:r>
          </w:p>
          <w:p w14:paraId="5C51E07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эмиссиялары және өндірістік қызметтің қоршаған ортаға әсері туралы сенімді деректер алу;</w:t>
            </w:r>
          </w:p>
          <w:p w14:paraId="4C1D4C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 мен адам денсаулығына тигізетін әсерін мейілінше қысқарту;</w:t>
            </w:r>
          </w:p>
          <w:p w14:paraId="1B074D6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табиғи және энергетикалық ресурстарын пайдалану тиімділігін арттыру;</w:t>
            </w:r>
          </w:p>
          <w:p w14:paraId="0232069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төтенше жағдайларға алдын-ала жедел әрекет ету; </w:t>
            </w:r>
          </w:p>
          <w:p w14:paraId="5432DCD0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экологиялық қызметі мен тұрғындардың денсаулығы үшін қауіп-қатерлер жөнінде жұртшылықты хабардар ету;</w:t>
            </w:r>
          </w:p>
          <w:p w14:paraId="3E4E063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Экологиялық талаптарға сәйкестік деңгейін арттыру;</w:t>
            </w:r>
          </w:p>
          <w:p w14:paraId="52520124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ортаны қорғауды басқару жүйесінің өндірістік және экологиялық тиімділігін арттыру</w:t>
            </w:r>
          </w:p>
          <w:p w14:paraId="2F0297A6" w14:textId="6C2993DA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Қарашығанақ кен орны аумағындағы және оның төңірегінде орналасқан елді мекендердің атмосфералық ауасын қорғауға ерекше көңіл бөледі. Қажетті мониторингтік бақылау деректерін ашық және жедел түрде алу мақсатында “Gidromet LTD”  ЖШС 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акредиттелген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зертханасы тартылады.</w:t>
            </w:r>
          </w:p>
          <w:p w14:paraId="11807F6B" w14:textId="77777777" w:rsidR="00177E06" w:rsidRPr="00FD35C5" w:rsidRDefault="00177E06" w:rsidP="00177E06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  <w:p w14:paraId="09A4E39F" w14:textId="2132599C" w:rsidR="00A837BA" w:rsidRPr="00FD35C5" w:rsidRDefault="00177E06" w:rsidP="00A837BA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Төменде көрс</w:t>
            </w:r>
            <w:r w:rsidR="00DF1A9E">
              <w:rPr>
                <w:rFonts w:ascii="Arial" w:hAnsi="Arial" w:cs="Arial"/>
                <w:sz w:val="20"/>
                <w:szCs w:val="20"/>
                <w:lang w:val="kk-KZ" w:eastAsia="en-US"/>
              </w:rPr>
              <w:t>етілген кестеде 202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>5</w:t>
            </w:r>
            <w:r w:rsidR="00017FA2"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6C01FE">
              <w:rPr>
                <w:rFonts w:ascii="Arial" w:hAnsi="Arial" w:cs="Arial"/>
                <w:sz w:val="20"/>
                <w:szCs w:val="20"/>
                <w:lang w:val="kk-KZ" w:eastAsia="en-US"/>
              </w:rPr>
              <w:t>жылғы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DC5A03">
              <w:rPr>
                <w:rFonts w:ascii="Arial" w:hAnsi="Arial" w:cs="Arial"/>
                <w:sz w:val="20"/>
                <w:szCs w:val="20"/>
                <w:lang w:val="kk-KZ" w:eastAsia="en-US"/>
              </w:rPr>
              <w:t>ма</w:t>
            </w:r>
            <w:r w:rsidR="002A3422">
              <w:rPr>
                <w:rFonts w:ascii="Arial" w:hAnsi="Arial" w:cs="Arial"/>
                <w:sz w:val="20"/>
                <w:szCs w:val="20"/>
                <w:lang w:val="kk-KZ" w:eastAsia="en-US"/>
              </w:rPr>
              <w:t>усым</w:t>
            </w: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айы бойынша атмосфералық ауаны талдау нәтижелері және кестенің төменгі тармағында салыстыру үшін тәуліктік орташа шектеулі-рұқсаттық концентрация мөлшері келтірілген (ПДК</w:t>
            </w:r>
            <w:r w:rsidR="00DC5A03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="00DC5A0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r w:rsidR="00DC5A03" w:rsidRPr="00DC5A03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.тәул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.).</w:t>
            </w:r>
          </w:p>
        </w:tc>
      </w:tr>
      <w:tr w:rsidR="00177E06" w:rsidRPr="009474AA" w14:paraId="74CE7DF2" w14:textId="77777777" w:rsidTr="00D444AC">
        <w:trPr>
          <w:trHeight w:val="588"/>
        </w:trPr>
        <w:tc>
          <w:tcPr>
            <w:tcW w:w="6120" w:type="dxa"/>
            <w:gridSpan w:val="2"/>
          </w:tcPr>
          <w:p w14:paraId="0F413286" w14:textId="756C842F" w:rsidR="00CE1F6B" w:rsidRPr="00652008" w:rsidRDefault="00B342FB" w:rsidP="008359CC">
            <w:pPr>
              <w:jc w:val="center"/>
              <w:rPr>
                <w:rFonts w:ascii="Arial" w:hAnsi="Arial" w:cs="Arial"/>
                <w:b/>
                <w:color w:val="0F243E" w:themeColor="text2" w:themeShade="80"/>
                <w:lang w:val="en-US"/>
              </w:rPr>
            </w:pPr>
            <w:r w:rsidRPr="000E6D4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Air Quality Analysis </w:t>
            </w:r>
            <w:r w:rsidR="008130B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>Results for</w:t>
            </w:r>
            <w:r w:rsidR="00FC032F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 </w:t>
            </w:r>
            <w:r w:rsidR="002A3422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June</w:t>
            </w:r>
            <w:r w:rsidR="00571983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2025</w:t>
            </w:r>
          </w:p>
        </w:tc>
        <w:tc>
          <w:tcPr>
            <w:tcW w:w="270" w:type="dxa"/>
          </w:tcPr>
          <w:p w14:paraId="533BFBE5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  <w:lang w:val="en-GB"/>
              </w:rPr>
            </w:pPr>
          </w:p>
        </w:tc>
        <w:tc>
          <w:tcPr>
            <w:tcW w:w="7560" w:type="dxa"/>
            <w:gridSpan w:val="6"/>
          </w:tcPr>
          <w:p w14:paraId="3F3B6964" w14:textId="77777777" w:rsidR="00177E06" w:rsidRDefault="00B342FB" w:rsidP="004C7F79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9474AA">
              <w:rPr>
                <w:rFonts w:ascii="Arial" w:hAnsi="Arial" w:cs="Arial"/>
                <w:b/>
                <w:color w:val="0F243E" w:themeColor="text2" w:themeShade="80"/>
              </w:rPr>
              <w:t>Результаты анализов атмосферного воздуха</w:t>
            </w:r>
          </w:p>
          <w:p w14:paraId="6546FC10" w14:textId="30310153" w:rsidR="00835EB2" w:rsidRPr="00652008" w:rsidRDefault="00216D15" w:rsidP="00F748D5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за </w:t>
            </w:r>
            <w:r w:rsidR="002A3422">
              <w:rPr>
                <w:rFonts w:ascii="Arial" w:hAnsi="Arial" w:cs="Arial"/>
                <w:b/>
                <w:color w:val="0F243E" w:themeColor="text2" w:themeShade="80"/>
              </w:rPr>
              <w:t>июнь</w:t>
            </w:r>
            <w:r w:rsidR="00444F7A">
              <w:rPr>
                <w:rFonts w:ascii="Arial" w:hAnsi="Arial" w:cs="Arial"/>
                <w:b/>
                <w:color w:val="0F243E" w:themeColor="text2" w:themeShade="80"/>
                <w:lang w:val="kk-KZ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</w:rPr>
              <w:t>2025</w:t>
            </w:r>
          </w:p>
        </w:tc>
        <w:tc>
          <w:tcPr>
            <w:tcW w:w="630" w:type="dxa"/>
            <w:gridSpan w:val="2"/>
          </w:tcPr>
          <w:p w14:paraId="6F40F0BD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8190" w:type="dxa"/>
            <w:gridSpan w:val="7"/>
          </w:tcPr>
          <w:p w14:paraId="29607753" w14:textId="7DEF2F49" w:rsidR="00B342FB" w:rsidRPr="009474AA" w:rsidRDefault="00DF1A9E" w:rsidP="00C20C70">
            <w:pPr>
              <w:pStyle w:val="Heading2"/>
              <w:rPr>
                <w:rFonts w:ascii="Arial" w:hAnsi="Arial" w:cs="Arial"/>
                <w:color w:val="0F243E" w:themeColor="text2" w:themeShade="80"/>
                <w:lang w:val="ru-RU"/>
              </w:rPr>
            </w:pPr>
            <w:r>
              <w:rPr>
                <w:rFonts w:ascii="Arial" w:hAnsi="Arial" w:cs="Arial"/>
                <w:color w:val="0F243E" w:themeColor="text2" w:themeShade="80"/>
                <w:lang w:val="ru-RU"/>
              </w:rPr>
              <w:t>202</w:t>
            </w:r>
            <w:r w:rsidR="00652008">
              <w:rPr>
                <w:rFonts w:ascii="Arial" w:hAnsi="Arial" w:cs="Arial"/>
                <w:color w:val="0F243E" w:themeColor="text2" w:themeShade="80"/>
                <w:lang w:val="ru-RU"/>
              </w:rPr>
              <w:t>5</w:t>
            </w:r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>жылғы</w:t>
            </w:r>
            <w:proofErr w:type="spellEnd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DC5A03">
              <w:rPr>
                <w:rFonts w:ascii="Arial" w:hAnsi="Arial" w:cs="Arial"/>
                <w:color w:val="0F243E" w:themeColor="text2" w:themeShade="80"/>
                <w:lang w:val="ru-RU"/>
              </w:rPr>
              <w:t>ма</w:t>
            </w:r>
            <w:r w:rsidR="002A3422">
              <w:rPr>
                <w:rFonts w:ascii="Arial" w:hAnsi="Arial" w:cs="Arial"/>
                <w:color w:val="0F243E" w:themeColor="text2" w:themeShade="80"/>
                <w:lang w:val="ru-RU"/>
              </w:rPr>
              <w:t>усым</w:t>
            </w:r>
            <w:proofErr w:type="spellEnd"/>
            <w:r w:rsidR="00444F7A">
              <w:rPr>
                <w:rFonts w:ascii="Arial" w:hAnsi="Arial" w:cs="Arial"/>
                <w:color w:val="0F243E" w:themeColor="text2" w:themeShade="80"/>
                <w:lang w:val="kk-KZ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айы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бойынша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атмосфералық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ауаны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талдау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нәтижелері</w:t>
            </w:r>
            <w:proofErr w:type="spellEnd"/>
          </w:p>
        </w:tc>
      </w:tr>
      <w:tr w:rsidR="0002208F" w:rsidRPr="0002208F" w14:paraId="66C4819B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Merge w:val="restart"/>
            <w:shd w:val="clear" w:color="auto" w:fill="CCFFFF"/>
          </w:tcPr>
          <w:p w14:paraId="35D19C95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Village</w:t>
            </w:r>
          </w:p>
          <w:p w14:paraId="4570D180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Населенный пункт</w:t>
            </w:r>
          </w:p>
          <w:p w14:paraId="1421FF62" w14:textId="77777777" w:rsidR="00562266" w:rsidRPr="004C7F79" w:rsidRDefault="00562266" w:rsidP="00B342FB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Елді</w:t>
            </w:r>
            <w:proofErr w:type="spellEnd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мекен</w:t>
            </w:r>
            <w:proofErr w:type="spellEnd"/>
          </w:p>
        </w:tc>
        <w:tc>
          <w:tcPr>
            <w:tcW w:w="7830" w:type="dxa"/>
            <w:gridSpan w:val="8"/>
            <w:shd w:val="clear" w:color="auto" w:fill="CCFFFF"/>
          </w:tcPr>
          <w:p w14:paraId="774F0AF2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Average Monthly Measured Concentrations (mg/m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  <w:lang w:val="en-GB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)</w:t>
            </w:r>
          </w:p>
          <w:p w14:paraId="2E63D688" w14:textId="77777777" w:rsidR="00562266" w:rsidRPr="004C7F79" w:rsidRDefault="00562266" w:rsidP="00562266">
            <w:pPr>
              <w:autoSpaceDE w:val="0"/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Среднемесячные концентрации (мг/м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)</w:t>
            </w:r>
          </w:p>
          <w:p w14:paraId="4729F98B" w14:textId="440280A4" w:rsidR="00562266" w:rsidRPr="004C7F79" w:rsidRDefault="00562266" w:rsidP="00562266">
            <w:pPr>
              <w:pStyle w:val="Heading2"/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</w:pP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Орташа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айлық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концентрациялар</w:t>
            </w:r>
            <w:proofErr w:type="spellEnd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(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мг/м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vertAlign w:val="superscript"/>
                <w:lang w:val="ru-RU"/>
              </w:rPr>
              <w:t>3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)</w:t>
            </w:r>
          </w:p>
        </w:tc>
        <w:tc>
          <w:tcPr>
            <w:tcW w:w="7470" w:type="dxa"/>
            <w:gridSpan w:val="5"/>
            <w:shd w:val="clear" w:color="auto" w:fill="CCFFFF"/>
          </w:tcPr>
          <w:p w14:paraId="3057370B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MPC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Exceedances</w:t>
            </w:r>
            <w:proofErr w:type="spellEnd"/>
          </w:p>
          <w:p w14:paraId="1CE769E7" w14:textId="77777777" w:rsidR="00E913FA" w:rsidRPr="004C7F79" w:rsidRDefault="00E913FA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Превышения ПДК </w:t>
            </w:r>
          </w:p>
          <w:p w14:paraId="74D692A4" w14:textId="77777777" w:rsidR="00562266" w:rsidRPr="004C7F79" w:rsidRDefault="00E913FA" w:rsidP="00B342FB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ШРМ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артуы</w:t>
            </w:r>
            <w:proofErr w:type="spellEnd"/>
          </w:p>
        </w:tc>
      </w:tr>
      <w:tr w:rsidR="0002208F" w:rsidRPr="0002208F" w14:paraId="5C3DEC0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90"/>
        </w:trPr>
        <w:tc>
          <w:tcPr>
            <w:tcW w:w="7110" w:type="dxa"/>
            <w:gridSpan w:val="3"/>
            <w:vMerge/>
            <w:shd w:val="clear" w:color="auto" w:fill="CCFFFF"/>
          </w:tcPr>
          <w:p w14:paraId="1BAD0408" w14:textId="77777777" w:rsidR="00562266" w:rsidRPr="00E9784A" w:rsidRDefault="00562266" w:rsidP="00562266">
            <w:pPr>
              <w:jc w:val="both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shd w:val="clear" w:color="auto" w:fill="CCFFFF"/>
          </w:tcPr>
          <w:p w14:paraId="57806FE3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67" w:type="dxa"/>
            <w:shd w:val="clear" w:color="auto" w:fill="CCFFFF"/>
          </w:tcPr>
          <w:p w14:paraId="75512E27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46649470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70" w:type="dxa"/>
            <w:gridSpan w:val="4"/>
            <w:shd w:val="clear" w:color="auto" w:fill="CCFFFF"/>
          </w:tcPr>
          <w:p w14:paraId="1B9F79B6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  <w:tc>
          <w:tcPr>
            <w:tcW w:w="1890" w:type="dxa"/>
            <w:gridSpan w:val="2"/>
            <w:shd w:val="clear" w:color="auto" w:fill="CCFFFF"/>
          </w:tcPr>
          <w:p w14:paraId="500CF99B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CCFFFF"/>
          </w:tcPr>
          <w:p w14:paraId="1CD09BE2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CCFFFF"/>
          </w:tcPr>
          <w:p w14:paraId="09F8E826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2CEEB261" w14:textId="77777777" w:rsidR="00562266" w:rsidRPr="00E9784A" w:rsidRDefault="00562266" w:rsidP="00562266">
            <w:pPr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</w:tr>
      <w:tr w:rsidR="004C01F5" w:rsidRPr="003324E3" w14:paraId="20EC5BC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E94E2F8" w14:textId="77777777" w:rsidR="004C01F5" w:rsidRPr="00E7457A" w:rsidRDefault="004C01F5" w:rsidP="004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Priuralny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Приуральный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CB" w14:textId="2072D506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0,00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393" w14:textId="2213FB3D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64D" w14:textId="77E3628A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0,03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EC8" w14:textId="119684D3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0,3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890" w:type="dxa"/>
            <w:gridSpan w:val="2"/>
          </w:tcPr>
          <w:p w14:paraId="4D278B15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010F88F6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C060129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D6759CA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4C01F5" w:rsidRPr="003324E3" w14:paraId="6DCBFC3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268A6A8A" w14:textId="77777777" w:rsidR="004C01F5" w:rsidRPr="00E7457A" w:rsidRDefault="004C01F5" w:rsidP="004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Zharsuat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Жарсуат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46" w14:textId="7A71C0B7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69C" w14:textId="56726CCE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DF1" w14:textId="686C3A2B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0,02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659" w14:textId="7ACBA9FB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128BDF55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B03820B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0A0A261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D8260E4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4C01F5" w:rsidRPr="003324E3" w14:paraId="06D591E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596DD2F" w14:textId="77777777" w:rsidR="004C01F5" w:rsidRPr="00E7457A" w:rsidRDefault="004C01F5" w:rsidP="004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Dimitrovo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Димитрово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7CE" w14:textId="5B31B074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A9C" w14:textId="0D4A322F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52B" w14:textId="63AD3AE5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BEF" w14:textId="685BAE18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0,38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gridSpan w:val="2"/>
          </w:tcPr>
          <w:p w14:paraId="16D1FD72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0F4CE4A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1A9AB87D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3CA45174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4C01F5" w:rsidRPr="003324E3" w14:paraId="5A5307CD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A4B1EB0" w14:textId="77777777" w:rsidR="004C01F5" w:rsidRPr="00E7457A" w:rsidRDefault="004C01F5" w:rsidP="004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Karachaganak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Карачаганак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2A0" w14:textId="54E06BF2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0C" w14:textId="6E8249C8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F7" w14:textId="45B8F372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0,02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A45" w14:textId="7BFD1991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296F290F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886DC93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8C8A8C0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4FEB42E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4C01F5" w:rsidRPr="003324E3" w14:paraId="76A52E8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3E5F1B10" w14:textId="77777777" w:rsidR="004C01F5" w:rsidRPr="00E7457A" w:rsidRDefault="004C01F5" w:rsidP="004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Zhanatalap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B9D" w14:textId="7BB24FC1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7F8" w14:textId="650DEAFF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814" w14:textId="4A101D91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0,02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F0" w14:textId="4625B4BB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355500E0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90F606D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DF30146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1890" w:type="dxa"/>
          </w:tcPr>
          <w:p w14:paraId="6E84C5CD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4C01F5" w:rsidRPr="003324E3" w14:paraId="22B28FD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Align w:val="center"/>
          </w:tcPr>
          <w:p w14:paraId="39F7B269" w14:textId="77777777" w:rsidR="004C01F5" w:rsidRPr="00E7457A" w:rsidRDefault="004C01F5" w:rsidP="004C01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Uspenovka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Успеновка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23B" w14:textId="3FC412CB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456" w14:textId="235EA14F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74" w14:textId="5AA2C400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0,028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19B" w14:textId="66CA59F5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4C01F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74642C80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420C187F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5148C7D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605E74C5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4C01F5" w:rsidRPr="003324E3" w14:paraId="339AA257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269"/>
        </w:trPr>
        <w:tc>
          <w:tcPr>
            <w:tcW w:w="7110" w:type="dxa"/>
            <w:gridSpan w:val="3"/>
          </w:tcPr>
          <w:p w14:paraId="374528FC" w14:textId="77777777" w:rsidR="004C01F5" w:rsidRPr="00E7457A" w:rsidRDefault="004C01F5" w:rsidP="004C0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Aksai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Аксай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B61" w14:textId="581A9604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</w:t>
            </w: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4A" w14:textId="29FA6A42" w:rsidR="004C01F5" w:rsidRPr="004C01F5" w:rsidRDefault="004C01F5" w:rsidP="004C01F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0,004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601" w14:textId="3CDAD7EE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en-US"/>
              </w:rPr>
            </w:pP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kk-KZ"/>
              </w:rPr>
              <w:t>0,030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7F" w14:textId="6D51C782" w:rsidR="004C01F5" w:rsidRPr="004C01F5" w:rsidRDefault="004C01F5" w:rsidP="004C01F5">
            <w:pPr>
              <w:pStyle w:val="Heading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  <w:lang w:val="ru-RU"/>
              </w:rPr>
            </w:pPr>
            <w:r w:rsidRPr="004C01F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val="ru-RU"/>
              </w:rPr>
              <w:t>˂</w:t>
            </w:r>
            <w:r w:rsidRPr="004C01F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u-RU"/>
              </w:rPr>
              <w:t>0,380*</w:t>
            </w:r>
          </w:p>
        </w:tc>
        <w:tc>
          <w:tcPr>
            <w:tcW w:w="1890" w:type="dxa"/>
            <w:gridSpan w:val="2"/>
          </w:tcPr>
          <w:p w14:paraId="6B0FCAF8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7EA8E51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C62ADF0" w14:textId="77777777" w:rsidR="004C01F5" w:rsidRPr="00E7457A" w:rsidRDefault="004C01F5" w:rsidP="004C0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0B7BB56" w14:textId="77777777" w:rsidR="004C01F5" w:rsidRPr="00E7457A" w:rsidRDefault="004C01F5" w:rsidP="004C01F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2C4073" w:rsidRPr="003324E3" w14:paraId="1A44F62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518"/>
        </w:trPr>
        <w:tc>
          <w:tcPr>
            <w:tcW w:w="7110" w:type="dxa"/>
            <w:gridSpan w:val="3"/>
          </w:tcPr>
          <w:p w14:paraId="4E52C41D" w14:textId="2FE1C4AB" w:rsidR="002C4073" w:rsidRPr="00E7457A" w:rsidRDefault="00292B84" w:rsidP="002C4073">
            <w:pPr>
              <w:pStyle w:val="Heading2"/>
              <w:autoSpaceDE w:val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*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</w:rPr>
              <w:t>MPC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average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2C4073" w:rsidRPr="00E7457A">
              <w:rPr>
                <w:rFonts w:ascii="Arial" w:hAnsi="Arial" w:cs="Arial"/>
                <w:sz w:val="20"/>
                <w:szCs w:val="20"/>
              </w:rPr>
              <w:t>mg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2C4073" w:rsidRPr="00E7457A">
              <w:rPr>
                <w:rFonts w:ascii="Arial" w:hAnsi="Arial" w:cs="Arial"/>
                <w:sz w:val="20"/>
                <w:szCs w:val="20"/>
              </w:rPr>
              <w:t>m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*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ПДК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с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мг/м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*Ж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РМ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C5A0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proofErr w:type="spellEnd"/>
            <w:r w:rsidR="00DC5A03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proofErr w:type="spellStart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тәул</w:t>
            </w:r>
            <w:proofErr w:type="spell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.</w:t>
            </w:r>
            <w:proofErr w:type="gramEnd"/>
            <w:r w:rsidR="002C4073"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 </w:t>
            </w:r>
            <w:r w:rsidR="002C4073" w:rsidRPr="00E7457A">
              <w:rPr>
                <w:rFonts w:ascii="Arial" w:hAnsi="Arial" w:cs="Arial"/>
                <w:sz w:val="20"/>
                <w:szCs w:val="20"/>
                <w:lang w:val="ru-RU"/>
              </w:rPr>
              <w:t>мг/м</w:t>
            </w:r>
            <w:r w:rsidR="002C4073"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14:paraId="583A6493" w14:textId="17348B7F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dxa"/>
            <w:vAlign w:val="center"/>
          </w:tcPr>
          <w:p w14:paraId="533145A6" w14:textId="22CB84D4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890" w:type="dxa"/>
            <w:vAlign w:val="center"/>
          </w:tcPr>
          <w:p w14:paraId="2449E0E0" w14:textId="615C0502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0.04</w:t>
            </w:r>
          </w:p>
        </w:tc>
        <w:tc>
          <w:tcPr>
            <w:tcW w:w="2070" w:type="dxa"/>
            <w:gridSpan w:val="4"/>
            <w:vAlign w:val="center"/>
          </w:tcPr>
          <w:p w14:paraId="4144B69C" w14:textId="68445B4E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7470" w:type="dxa"/>
            <w:gridSpan w:val="5"/>
          </w:tcPr>
          <w:p w14:paraId="041E5239" w14:textId="77777777" w:rsidR="002C4073" w:rsidRPr="00E7457A" w:rsidRDefault="002C4073" w:rsidP="002C407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4073" w:rsidRPr="00FD5CA2" w14:paraId="5B5CB763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1197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06F4" w14:textId="77777777" w:rsidR="002C4073" w:rsidRDefault="002C4073" w:rsidP="002C4073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A303E9" w14:textId="73CF14C0" w:rsidR="002C4073" w:rsidRPr="00E7457A" w:rsidRDefault="002C4073" w:rsidP="002C407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en-GB"/>
              </w:rPr>
              <w:t>Note: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S – hydrogen sulphide,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– sulphur dioxide,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– nitrogen dioxide, CO – carbon monoxide.</w:t>
            </w:r>
          </w:p>
          <w:p w14:paraId="7C6773FF" w14:textId="11EB67EC" w:rsidR="002C4073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*MPC (maximum </w:t>
            </w:r>
            <w:r w:rsidR="00627BE0" w:rsidRPr="00627BE0">
              <w:rPr>
                <w:rFonts w:ascii="Arial" w:hAnsi="Arial" w:cs="Arial"/>
                <w:bCs/>
                <w:sz w:val="20"/>
                <w:szCs w:val="20"/>
                <w:lang w:val="en-GB"/>
              </w:rPr>
              <w:t>permissible concentrations</w:t>
            </w: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r w:rsidRPr="00E7457A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20F02625" w14:textId="36BA4A44" w:rsidR="002C4073" w:rsidRPr="00226D8C" w:rsidRDefault="002C4073" w:rsidP="0023267D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7F41011" w14:textId="77777777" w:rsidR="002C4073" w:rsidRPr="00E7457A" w:rsidRDefault="002C4073" w:rsidP="002C407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471A0" w14:textId="77777777" w:rsidR="002C4073" w:rsidRPr="002A5816" w:rsidRDefault="002C4073" w:rsidP="002C40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1F9D" w14:textId="0865D621" w:rsidR="002C4073" w:rsidRPr="00E7457A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</w:rPr>
              <w:t>Примечание:</w:t>
            </w:r>
            <w:r w:rsidRPr="00E7457A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S-сероводород,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-диоксид серы,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-двуокись азота, CO-оксид углерода/угарный газ.</w:t>
            </w:r>
          </w:p>
          <w:p w14:paraId="77B0D1B7" w14:textId="7F5E2902" w:rsidR="002C4073" w:rsidRPr="002A5816" w:rsidRDefault="002C4073" w:rsidP="002C4073">
            <w:pPr>
              <w:rPr>
                <w:rFonts w:ascii="Arial" w:hAnsi="Arial" w:cs="Arial"/>
                <w:sz w:val="20"/>
                <w:szCs w:val="20"/>
              </w:rPr>
            </w:pPr>
            <w:r w:rsidRPr="00835EB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7457A">
              <w:rPr>
                <w:rFonts w:ascii="Arial" w:hAnsi="Arial" w:cs="Arial"/>
                <w:bCs/>
                <w:sz w:val="20"/>
                <w:szCs w:val="20"/>
              </w:rPr>
              <w:t>ПДК</w:t>
            </w:r>
            <w:r w:rsidRPr="00835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816" w:rsidRPr="002A581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5816">
              <w:rPr>
                <w:rFonts w:ascii="Arial" w:hAnsi="Arial" w:cs="Arial"/>
                <w:bCs/>
                <w:sz w:val="20"/>
                <w:szCs w:val="20"/>
              </w:rPr>
              <w:t>предельно-допустимая концентрация)</w:t>
            </w:r>
          </w:p>
          <w:p w14:paraId="3108BD0D" w14:textId="33AC2069" w:rsidR="002C4073" w:rsidRPr="00A46DA4" w:rsidRDefault="002C4073" w:rsidP="0023267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4978A2" w14:textId="77777777" w:rsidR="002C4073" w:rsidRPr="00E7457A" w:rsidRDefault="002C4073" w:rsidP="002C40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AADA4" w14:textId="77777777" w:rsidR="002C4073" w:rsidRDefault="002C4073" w:rsidP="002C4073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18A5C1AF" w14:textId="0217E577" w:rsidR="002C4073" w:rsidRPr="00E7457A" w:rsidRDefault="002C4073" w:rsidP="002C407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kk-KZ"/>
              </w:rPr>
              <w:t>Ескерту: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S – күкіртті сутек,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– күкіртті газ,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– азот қос тотығы, CO – тұншықтырғыш газ.                                                                   </w:t>
            </w:r>
          </w:p>
          <w:p w14:paraId="44FB4542" w14:textId="4AFD8C03" w:rsidR="002C4073" w:rsidRPr="00F748D5" w:rsidRDefault="002C4073" w:rsidP="00F748D5">
            <w:pPr>
              <w:rPr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*</w:t>
            </w:r>
            <w:r w:rsidR="00DC5A03"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="00292B84">
              <w:rPr>
                <w:rFonts w:ascii="Arial" w:hAnsi="Arial" w:cs="Arial"/>
                <w:sz w:val="20"/>
                <w:szCs w:val="20"/>
                <w:lang w:val="kk-KZ"/>
              </w:rPr>
              <w:t>РМ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(</w:t>
            </w:r>
            <w:r w:rsidR="00627BE0" w:rsidRPr="00627BE0">
              <w:rPr>
                <w:rFonts w:ascii="Arial" w:hAnsi="Arial" w:cs="Arial"/>
                <w:sz w:val="20"/>
                <w:szCs w:val="20"/>
                <w:lang w:val="kk-KZ"/>
              </w:rPr>
              <w:t>Шекті -рұқсатты концентрация мөлшері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).</w:t>
            </w:r>
            <w:r w:rsidRPr="00E7457A">
              <w:rPr>
                <w:sz w:val="20"/>
                <w:szCs w:val="20"/>
                <w:lang w:val="kk-KZ"/>
              </w:rPr>
              <w:t xml:space="preserve"> </w:t>
            </w:r>
          </w:p>
          <w:p w14:paraId="7B5DDFB9" w14:textId="6D642A5E" w:rsidR="002C4073" w:rsidRPr="00E7457A" w:rsidRDefault="002C4073" w:rsidP="0023267D">
            <w:pPr>
              <w:shd w:val="clear" w:color="auto" w:fill="FFFFFF"/>
              <w:spacing w:after="100" w:afterAutospacing="1" w:line="0" w:lineRule="atLeas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2C4073" w:rsidRPr="00FD5CA2" w14:paraId="49157427" w14:textId="77777777" w:rsidTr="007D5A4E">
        <w:trPr>
          <w:gridBefore w:val="1"/>
          <w:gridAfter w:val="1"/>
          <w:wBefore w:w="180" w:type="dxa"/>
          <w:wAfter w:w="180" w:type="dxa"/>
          <w:trHeight w:val="240"/>
        </w:trPr>
        <w:tc>
          <w:tcPr>
            <w:tcW w:w="7110" w:type="dxa"/>
            <w:gridSpan w:val="3"/>
          </w:tcPr>
          <w:p w14:paraId="0EF4427C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86" w:type="dxa"/>
          </w:tcPr>
          <w:p w14:paraId="4BA749A4" w14:textId="77777777" w:rsidR="002C4073" w:rsidRPr="007D3321" w:rsidRDefault="002C4073" w:rsidP="002C4073">
            <w:pPr>
              <w:rPr>
                <w:lang w:val="kk-KZ"/>
              </w:rPr>
            </w:pPr>
          </w:p>
        </w:tc>
        <w:tc>
          <w:tcPr>
            <w:tcW w:w="7544" w:type="dxa"/>
            <w:gridSpan w:val="7"/>
          </w:tcPr>
          <w:p w14:paraId="6BC0F410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52" w:type="dxa"/>
          </w:tcPr>
          <w:p w14:paraId="646001B2" w14:textId="77777777" w:rsidR="002C4073" w:rsidRPr="007D3321" w:rsidRDefault="002C4073" w:rsidP="002C4073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7218" w:type="dxa"/>
            <w:gridSpan w:val="4"/>
          </w:tcPr>
          <w:p w14:paraId="522DFB7B" w14:textId="77777777" w:rsidR="002C4073" w:rsidRPr="00CF05ED" w:rsidRDefault="002C4073" w:rsidP="002C4073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</w:tr>
    </w:tbl>
    <w:p w14:paraId="5715C72C" w14:textId="77777777" w:rsidR="00B342FB" w:rsidRPr="00223601" w:rsidRDefault="00B342FB" w:rsidP="00074F0B">
      <w:pPr>
        <w:rPr>
          <w:lang w:val="kk-KZ"/>
        </w:rPr>
      </w:pPr>
    </w:p>
    <w:sectPr w:rsidR="00B342FB" w:rsidRPr="00223601" w:rsidSect="00E913FA">
      <w:pgSz w:w="23811" w:h="16838" w:orient="landscape" w:code="8"/>
      <w:pgMar w:top="993" w:right="1134" w:bottom="850" w:left="1134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3745" w14:textId="77777777" w:rsidR="00177E06" w:rsidRDefault="00177E06" w:rsidP="00177E06">
      <w:r>
        <w:separator/>
      </w:r>
    </w:p>
  </w:endnote>
  <w:endnote w:type="continuationSeparator" w:id="0">
    <w:p w14:paraId="0746722B" w14:textId="77777777" w:rsidR="00177E06" w:rsidRDefault="00177E06" w:rsidP="001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B600" w14:textId="77777777" w:rsidR="00177E06" w:rsidRDefault="00177E06" w:rsidP="00177E06">
      <w:r>
        <w:separator/>
      </w:r>
    </w:p>
  </w:footnote>
  <w:footnote w:type="continuationSeparator" w:id="0">
    <w:p w14:paraId="076BF192" w14:textId="77777777" w:rsidR="00177E06" w:rsidRDefault="00177E06" w:rsidP="001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932"/>
    <w:multiLevelType w:val="hybridMultilevel"/>
    <w:tmpl w:val="D0A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BA"/>
    <w:rsid w:val="00017F6F"/>
    <w:rsid w:val="00017FA2"/>
    <w:rsid w:val="0002208F"/>
    <w:rsid w:val="000327E5"/>
    <w:rsid w:val="00046AF5"/>
    <w:rsid w:val="0006479E"/>
    <w:rsid w:val="00070A0A"/>
    <w:rsid w:val="00074F0B"/>
    <w:rsid w:val="00080F17"/>
    <w:rsid w:val="000B0C31"/>
    <w:rsid w:val="000B2665"/>
    <w:rsid w:val="000C398E"/>
    <w:rsid w:val="000D2CA1"/>
    <w:rsid w:val="000E6D4D"/>
    <w:rsid w:val="000F0CBD"/>
    <w:rsid w:val="00100C56"/>
    <w:rsid w:val="001202A5"/>
    <w:rsid w:val="00132FBD"/>
    <w:rsid w:val="00136BCC"/>
    <w:rsid w:val="00137446"/>
    <w:rsid w:val="0014334D"/>
    <w:rsid w:val="00146108"/>
    <w:rsid w:val="00162821"/>
    <w:rsid w:val="00177E06"/>
    <w:rsid w:val="00184A22"/>
    <w:rsid w:val="001B174D"/>
    <w:rsid w:val="001B5095"/>
    <w:rsid w:val="001C3EA3"/>
    <w:rsid w:val="001C4A28"/>
    <w:rsid w:val="0020369B"/>
    <w:rsid w:val="00216D15"/>
    <w:rsid w:val="00223601"/>
    <w:rsid w:val="00226D8C"/>
    <w:rsid w:val="00227C3C"/>
    <w:rsid w:val="0023267D"/>
    <w:rsid w:val="00292B84"/>
    <w:rsid w:val="002A3422"/>
    <w:rsid w:val="002A37FF"/>
    <w:rsid w:val="002A49B5"/>
    <w:rsid w:val="002A5816"/>
    <w:rsid w:val="002A5922"/>
    <w:rsid w:val="002C4073"/>
    <w:rsid w:val="002D596A"/>
    <w:rsid w:val="002E4245"/>
    <w:rsid w:val="002E6A79"/>
    <w:rsid w:val="003060C8"/>
    <w:rsid w:val="00315692"/>
    <w:rsid w:val="00316FFD"/>
    <w:rsid w:val="003200D5"/>
    <w:rsid w:val="003324E3"/>
    <w:rsid w:val="00366096"/>
    <w:rsid w:val="00376845"/>
    <w:rsid w:val="003B6F43"/>
    <w:rsid w:val="003C175D"/>
    <w:rsid w:val="003D2A24"/>
    <w:rsid w:val="003D4B6E"/>
    <w:rsid w:val="003E0DB1"/>
    <w:rsid w:val="00403C99"/>
    <w:rsid w:val="00417B2C"/>
    <w:rsid w:val="00432EF0"/>
    <w:rsid w:val="00442C9F"/>
    <w:rsid w:val="00444F7A"/>
    <w:rsid w:val="004939FA"/>
    <w:rsid w:val="004A1169"/>
    <w:rsid w:val="004B450C"/>
    <w:rsid w:val="004C01F5"/>
    <w:rsid w:val="004C069B"/>
    <w:rsid w:val="004C7F79"/>
    <w:rsid w:val="00514E48"/>
    <w:rsid w:val="00530341"/>
    <w:rsid w:val="00534F2B"/>
    <w:rsid w:val="00535A22"/>
    <w:rsid w:val="00537AA1"/>
    <w:rsid w:val="00562266"/>
    <w:rsid w:val="00571983"/>
    <w:rsid w:val="00576FBA"/>
    <w:rsid w:val="00597A42"/>
    <w:rsid w:val="005A1245"/>
    <w:rsid w:val="005B3BC3"/>
    <w:rsid w:val="005C0434"/>
    <w:rsid w:val="005C19E9"/>
    <w:rsid w:val="005D0C08"/>
    <w:rsid w:val="005E0393"/>
    <w:rsid w:val="005E0FE6"/>
    <w:rsid w:val="006053BB"/>
    <w:rsid w:val="00616BC4"/>
    <w:rsid w:val="00627BE0"/>
    <w:rsid w:val="006430CF"/>
    <w:rsid w:val="00644095"/>
    <w:rsid w:val="00652008"/>
    <w:rsid w:val="00661E84"/>
    <w:rsid w:val="00680F40"/>
    <w:rsid w:val="006924B0"/>
    <w:rsid w:val="00694BAE"/>
    <w:rsid w:val="006B7EEC"/>
    <w:rsid w:val="006C01FE"/>
    <w:rsid w:val="0071472A"/>
    <w:rsid w:val="007D3321"/>
    <w:rsid w:val="007D5A4E"/>
    <w:rsid w:val="008130BD"/>
    <w:rsid w:val="008220A1"/>
    <w:rsid w:val="00826992"/>
    <w:rsid w:val="00831871"/>
    <w:rsid w:val="008332AF"/>
    <w:rsid w:val="008359CC"/>
    <w:rsid w:val="00835EB2"/>
    <w:rsid w:val="00862380"/>
    <w:rsid w:val="008B311D"/>
    <w:rsid w:val="008E582D"/>
    <w:rsid w:val="008F1956"/>
    <w:rsid w:val="0090338B"/>
    <w:rsid w:val="0091497F"/>
    <w:rsid w:val="009474AA"/>
    <w:rsid w:val="00952A67"/>
    <w:rsid w:val="00956B8D"/>
    <w:rsid w:val="00970B99"/>
    <w:rsid w:val="00972CAB"/>
    <w:rsid w:val="009A6C61"/>
    <w:rsid w:val="009C6AF0"/>
    <w:rsid w:val="009C7C7D"/>
    <w:rsid w:val="009E0AC5"/>
    <w:rsid w:val="00A136E3"/>
    <w:rsid w:val="00A20020"/>
    <w:rsid w:val="00A25D63"/>
    <w:rsid w:val="00A26AED"/>
    <w:rsid w:val="00A27743"/>
    <w:rsid w:val="00A343C4"/>
    <w:rsid w:val="00A46DA4"/>
    <w:rsid w:val="00A519A8"/>
    <w:rsid w:val="00A62299"/>
    <w:rsid w:val="00A71736"/>
    <w:rsid w:val="00A74A0F"/>
    <w:rsid w:val="00A837BA"/>
    <w:rsid w:val="00A877F6"/>
    <w:rsid w:val="00A9030A"/>
    <w:rsid w:val="00AB4BC0"/>
    <w:rsid w:val="00AE10CA"/>
    <w:rsid w:val="00AE536A"/>
    <w:rsid w:val="00AF1981"/>
    <w:rsid w:val="00B13579"/>
    <w:rsid w:val="00B2354D"/>
    <w:rsid w:val="00B342FB"/>
    <w:rsid w:val="00B40274"/>
    <w:rsid w:val="00B43933"/>
    <w:rsid w:val="00B46885"/>
    <w:rsid w:val="00B62D27"/>
    <w:rsid w:val="00B8114C"/>
    <w:rsid w:val="00BB5CA7"/>
    <w:rsid w:val="00BC39C7"/>
    <w:rsid w:val="00BC6147"/>
    <w:rsid w:val="00BE3797"/>
    <w:rsid w:val="00BF5E0B"/>
    <w:rsid w:val="00BF6549"/>
    <w:rsid w:val="00C20C70"/>
    <w:rsid w:val="00C26A07"/>
    <w:rsid w:val="00C364CB"/>
    <w:rsid w:val="00C36F7A"/>
    <w:rsid w:val="00C550E8"/>
    <w:rsid w:val="00C71F85"/>
    <w:rsid w:val="00C7272A"/>
    <w:rsid w:val="00C8521C"/>
    <w:rsid w:val="00C9231F"/>
    <w:rsid w:val="00C94A8D"/>
    <w:rsid w:val="00CA04EE"/>
    <w:rsid w:val="00CA08DD"/>
    <w:rsid w:val="00CA23B7"/>
    <w:rsid w:val="00CC619B"/>
    <w:rsid w:val="00CD4F6F"/>
    <w:rsid w:val="00CE1F6B"/>
    <w:rsid w:val="00CF05ED"/>
    <w:rsid w:val="00D06DBE"/>
    <w:rsid w:val="00D444AC"/>
    <w:rsid w:val="00D53975"/>
    <w:rsid w:val="00D6662F"/>
    <w:rsid w:val="00D73DF5"/>
    <w:rsid w:val="00D75F18"/>
    <w:rsid w:val="00DA2E34"/>
    <w:rsid w:val="00DB0879"/>
    <w:rsid w:val="00DB1906"/>
    <w:rsid w:val="00DC17A8"/>
    <w:rsid w:val="00DC5A03"/>
    <w:rsid w:val="00DD3204"/>
    <w:rsid w:val="00DD4A1F"/>
    <w:rsid w:val="00DE4E96"/>
    <w:rsid w:val="00DF1A9E"/>
    <w:rsid w:val="00DF22C0"/>
    <w:rsid w:val="00DF330E"/>
    <w:rsid w:val="00DF3ED2"/>
    <w:rsid w:val="00E403AE"/>
    <w:rsid w:val="00E4214A"/>
    <w:rsid w:val="00E54FF2"/>
    <w:rsid w:val="00E649BB"/>
    <w:rsid w:val="00E66736"/>
    <w:rsid w:val="00E67885"/>
    <w:rsid w:val="00E7457A"/>
    <w:rsid w:val="00E80B84"/>
    <w:rsid w:val="00E813F1"/>
    <w:rsid w:val="00E81F6B"/>
    <w:rsid w:val="00E864CA"/>
    <w:rsid w:val="00E86812"/>
    <w:rsid w:val="00E913FA"/>
    <w:rsid w:val="00E9784A"/>
    <w:rsid w:val="00EA6491"/>
    <w:rsid w:val="00EB762D"/>
    <w:rsid w:val="00EF0BC4"/>
    <w:rsid w:val="00F24BA1"/>
    <w:rsid w:val="00F26928"/>
    <w:rsid w:val="00F30BAE"/>
    <w:rsid w:val="00F728D2"/>
    <w:rsid w:val="00F748D5"/>
    <w:rsid w:val="00F761CD"/>
    <w:rsid w:val="00F771E2"/>
    <w:rsid w:val="00F776C3"/>
    <w:rsid w:val="00F818FE"/>
    <w:rsid w:val="00F83EEA"/>
    <w:rsid w:val="00F904AA"/>
    <w:rsid w:val="00F9059C"/>
    <w:rsid w:val="00F93EE6"/>
    <w:rsid w:val="00FA7EA4"/>
    <w:rsid w:val="00FB505C"/>
    <w:rsid w:val="00FC032F"/>
    <w:rsid w:val="00FC1776"/>
    <w:rsid w:val="00FD35C5"/>
    <w:rsid w:val="00FD3EC1"/>
    <w:rsid w:val="00FD5CA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FD3CC"/>
  <w15:docId w15:val="{84D1E174-C8EA-451D-927B-1670148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837BA"/>
    <w:pPr>
      <w:keepNext/>
      <w:jc w:val="center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837BA"/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837BA"/>
    <w:rPr>
      <w:sz w:val="22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837BA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342FB"/>
    <w:pPr>
      <w:tabs>
        <w:tab w:val="center" w:pos="4677"/>
        <w:tab w:val="right" w:pos="9355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342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6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2266"/>
    <w:rPr>
      <w:rFonts w:ascii="Segoe UI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nhideWhenUsed/>
    <w:rsid w:val="00177E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77E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D434-3CD5-476E-A1D7-45AD1BE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771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Bakhtiyarova, Irina</dc:creator>
  <cp:lastModifiedBy>Amirova, Zhamal</cp:lastModifiedBy>
  <cp:revision>153</cp:revision>
  <cp:lastPrinted>2019-11-07T10:17:00Z</cp:lastPrinted>
  <dcterms:created xsi:type="dcterms:W3CDTF">2019-11-05T04:10:00Z</dcterms:created>
  <dcterms:modified xsi:type="dcterms:W3CDTF">2025-07-08T03:58:00Z</dcterms:modified>
</cp:coreProperties>
</file>